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>, возбужденное по ст.1</w:t>
      </w:r>
      <w:r>
        <w:rPr>
          <w:rFonts w:ascii="Times New Roman" w:eastAsia="Times New Roman" w:hAnsi="Times New Roman" w:cs="Times New Roman"/>
        </w:rPr>
        <w:t>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0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1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 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1rplc-2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выписки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20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по поступлении налоговой декларации в налоговый орган </w:t>
      </w:r>
      <w:r>
        <w:rPr>
          <w:rStyle w:val="cat-Dategrp-12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731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2077-E3E8-4D36-8F99-13384580DB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